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46" w:rsidRPr="00704246" w:rsidRDefault="00704246" w:rsidP="00704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4246">
        <w:rPr>
          <w:rFonts w:ascii="Times New Roman" w:hAnsi="Times New Roman" w:cs="Times New Roman"/>
          <w:b/>
          <w:sz w:val="28"/>
          <w:szCs w:val="28"/>
        </w:rPr>
        <w:t xml:space="preserve">Статистика </w:t>
      </w:r>
      <w:proofErr w:type="spellStart"/>
      <w:r w:rsidRPr="00704246">
        <w:rPr>
          <w:rFonts w:ascii="Times New Roman" w:hAnsi="Times New Roman" w:cs="Times New Roman"/>
          <w:b/>
          <w:sz w:val="28"/>
          <w:szCs w:val="28"/>
        </w:rPr>
        <w:t>травмировани</w:t>
      </w:r>
      <w:r w:rsidRPr="00704246"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  <w:r w:rsidRPr="00704246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на объектах железнодорожного транспорта</w:t>
      </w:r>
      <w:r w:rsidRPr="00704246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704246">
        <w:rPr>
          <w:rFonts w:ascii="Times New Roman" w:hAnsi="Times New Roman" w:cs="Times New Roman"/>
          <w:b/>
          <w:sz w:val="28"/>
          <w:szCs w:val="28"/>
        </w:rPr>
        <w:t>а 2024 в зоне движения поездов</w:t>
      </w:r>
      <w:r w:rsidRPr="00704246">
        <w:rPr>
          <w:rFonts w:ascii="Times New Roman" w:hAnsi="Times New Roman" w:cs="Times New Roman"/>
          <w:b/>
          <w:sz w:val="28"/>
          <w:szCs w:val="28"/>
        </w:rPr>
        <w:t>.</w:t>
      </w:r>
    </w:p>
    <w:p w:rsidR="00704246" w:rsidRDefault="00704246" w:rsidP="0070424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26EFF" w:rsidRPr="00704246" w:rsidRDefault="00704246" w:rsidP="007042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4246">
        <w:rPr>
          <w:rFonts w:ascii="Times New Roman" w:hAnsi="Times New Roman" w:cs="Times New Roman"/>
          <w:sz w:val="28"/>
          <w:szCs w:val="28"/>
        </w:rPr>
        <w:t xml:space="preserve">За 2024 в зоне движения поездов травмировано 684 человека, в том числе со смертельным исходом — 185 человек. Особую тревогу вызывает рост </w:t>
      </w:r>
      <w:proofErr w:type="spellStart"/>
      <w:r w:rsidRPr="0070424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704246">
        <w:rPr>
          <w:rFonts w:ascii="Times New Roman" w:hAnsi="Times New Roman" w:cs="Times New Roman"/>
          <w:sz w:val="28"/>
          <w:szCs w:val="28"/>
        </w:rPr>
        <w:t xml:space="preserve"> детей и подростков: по отношению к данным 2023 года количество травмированных увеличилось на 24,594 (с 106 до 132 человек), в том числе со смертельным исходом — на 24 </w:t>
      </w:r>
      <w:r w:rsidRPr="0070424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04246">
        <w:rPr>
          <w:rFonts w:ascii="Times New Roman" w:hAnsi="Times New Roman" w:cs="Times New Roman"/>
          <w:sz w:val="28"/>
          <w:szCs w:val="28"/>
        </w:rPr>
        <w:t>/0 (с 71 до 88 человек). Результаты проведенного</w:t>
      </w:r>
      <w:proofErr w:type="gramStart"/>
      <w:r w:rsidRPr="0070424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04246">
        <w:rPr>
          <w:rFonts w:ascii="Times New Roman" w:hAnsi="Times New Roman" w:cs="Times New Roman"/>
          <w:sz w:val="28"/>
          <w:szCs w:val="28"/>
        </w:rPr>
        <w:t xml:space="preserve"> анализа свидетельствуют, что основными причинами </w:t>
      </w:r>
      <w:proofErr w:type="spellStart"/>
      <w:r w:rsidRPr="0070424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704246">
        <w:rPr>
          <w:rFonts w:ascii="Times New Roman" w:hAnsi="Times New Roman" w:cs="Times New Roman"/>
          <w:sz w:val="28"/>
          <w:szCs w:val="28"/>
        </w:rPr>
        <w:t xml:space="preserve"> граждан являются грубое нарушение правил безопасности и недостаточная осведомленность о последствиях рискованного поведения в зоне повышенной опасности, часто усугубляемое использование атрибутов, препятствующих оперативному реагированию па изменение внешней обстановки (использование наушников, капюшонов и других отвлекающих факторов).</w:t>
      </w:r>
      <w:bookmarkEnd w:id="0"/>
    </w:p>
    <w:sectPr w:rsidR="00126EFF" w:rsidRPr="0070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46"/>
    <w:rsid w:val="00126EFF"/>
    <w:rsid w:val="0070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2025-03-25T14:33:00Z</dcterms:created>
  <dcterms:modified xsi:type="dcterms:W3CDTF">2025-03-25T14:36:00Z</dcterms:modified>
</cp:coreProperties>
</file>